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477E3" w14:textId="77777777" w:rsidR="00E047AE" w:rsidRDefault="00E047AE" w:rsidP="0072055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</w:p>
    <w:p w14:paraId="6A1FDD1F" w14:textId="1BF61305" w:rsidR="008675CA" w:rsidRPr="00751BEF" w:rsidRDefault="00E54C97" w:rsidP="0072055C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751BEF">
        <w:rPr>
          <w:rFonts w:ascii="Times New Roman" w:hAnsi="Times New Roman"/>
          <w:i w:val="0"/>
          <w:iCs/>
          <w:szCs w:val="24"/>
          <w:lang w:val="sq-AL"/>
        </w:rPr>
        <w:t>MODEL</w:t>
      </w:r>
      <w:r w:rsidR="00463C25" w:rsidRPr="00751BEF">
        <w:rPr>
          <w:rFonts w:ascii="Times New Roman" w:hAnsi="Times New Roman"/>
          <w:i w:val="0"/>
          <w:iCs/>
          <w:szCs w:val="24"/>
          <w:lang w:val="sq-AL"/>
        </w:rPr>
        <w:t xml:space="preserve">I 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P</w:t>
      </w:r>
      <w:r w:rsidR="00044810" w:rsidRPr="00751BEF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751BEF">
        <w:rPr>
          <w:rFonts w:ascii="Times New Roman" w:hAnsi="Times New Roman"/>
          <w:i w:val="0"/>
          <w:iCs/>
          <w:szCs w:val="24"/>
          <w:lang w:val="sq-AL"/>
        </w:rPr>
        <w:t>R DOKUMENTIN KONSULTATIV</w:t>
      </w:r>
    </w:p>
    <w:p w14:paraId="2FF88EF8" w14:textId="0586690C" w:rsidR="00990DC6" w:rsidRDefault="00F3210B" w:rsidP="0072055C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5E5A3C">
        <w:rPr>
          <w:rFonts w:ascii="Times New Roman" w:hAnsi="Times New Roman"/>
          <w:sz w:val="24"/>
          <w:szCs w:val="24"/>
          <w:lang w:val="sq-AL"/>
        </w:rPr>
        <w:t>Projektvendimi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bookmarkStart w:id="0" w:name="_GoBack"/>
      <w:r w:rsidR="001F2E87">
        <w:rPr>
          <w:rFonts w:ascii="Times New Roman" w:hAnsi="Times New Roman"/>
          <w:b/>
          <w:sz w:val="24"/>
          <w:szCs w:val="24"/>
          <w:lang w:val="sq-AL"/>
        </w:rPr>
        <w:t>“</w:t>
      </w:r>
      <w:r w:rsidR="000257F9" w:rsidRPr="000257F9">
        <w:rPr>
          <w:rFonts w:ascii="Times New Roman" w:hAnsi="Times New Roman"/>
          <w:b/>
          <w:sz w:val="24"/>
          <w:szCs w:val="24"/>
          <w:lang w:val="sq-AL"/>
        </w:rPr>
        <w:t>Për një shtesë dhe ndryshim në vendimin nr. 421, datë 13.05.2015, të Këshillit të Ministrave, “Për procedurat e shqyrtimit të kërkesave, dokumentacionin, afatet e shqyrtimit dhe kriteret e veçanta të licencimit të veprimtarive të lejuara me armët””</w:t>
      </w:r>
      <w:r w:rsidR="000257F9">
        <w:rPr>
          <w:rFonts w:ascii="Times New Roman" w:hAnsi="Times New Roman"/>
          <w:b/>
          <w:sz w:val="24"/>
          <w:szCs w:val="24"/>
          <w:lang w:val="sq-AL"/>
        </w:rPr>
        <w:t>.</w:t>
      </w:r>
      <w:bookmarkEnd w:id="0"/>
    </w:p>
    <w:p w14:paraId="18DA2C2A" w14:textId="77777777" w:rsidR="00F3210B" w:rsidRPr="00F3210B" w:rsidRDefault="00F3210B" w:rsidP="0072055C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3BF55563" w14:textId="77777777" w:rsidTr="009F3A30">
        <w:tc>
          <w:tcPr>
            <w:tcW w:w="9212" w:type="dxa"/>
          </w:tcPr>
          <w:p w14:paraId="236F5B71" w14:textId="4A053A38" w:rsidR="00441FF8" w:rsidRPr="00751BEF" w:rsidRDefault="00F3210B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103272EC" w14:textId="7F2FDDAF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fton qytetarë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, shoqëritë tregtare që kryejnë veprimtari të lejuara me armët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F67AE6">
              <w:rPr>
                <w:rFonts w:ascii="Times New Roman" w:hAnsi="Times New Roman"/>
                <w:sz w:val="24"/>
                <w:szCs w:val="24"/>
                <w:lang w:val="sq-AL"/>
              </w:rPr>
              <w:t>organizata të shoqërisë civile, organet e pavarura,</w:t>
            </w:r>
            <w:r w:rsidR="00F67AE6" w:rsidRPr="00F67AE6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ekspertë të fushës 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dhe përfaqësues të tjerë të publikut të interesuar për të kontribuar pë</w:t>
            </w:r>
            <w:r w:rsidR="001379F3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gjatë procesit të konsultimit publik të 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F3210B" w:rsidRPr="00F3210B">
              <w:rPr>
                <w:rFonts w:ascii="Times New Roman" w:hAnsi="Times New Roman"/>
                <w:sz w:val="24"/>
                <w:szCs w:val="24"/>
                <w:lang w:val="sq-AL"/>
              </w:rPr>
              <w:t>rojektvendimi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F3210B" w:rsidRPr="00F3210B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“Për një shtesë dhe ndryshim në vendimin nr. 94, datë 4.2.2015, të Këshillit të Ministrave “Për procedurat për armët, në rastet e deklarimit të vdekjes, deklarimit të mbylljes ligjore të aktivitetit, për qëllime studimore, të humbjes së armës, vjedhjes së saj apo dokumentit/autorizimit”</w:t>
            </w:r>
          </w:p>
          <w:p w14:paraId="7A6F89D1" w14:textId="77777777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Ministria e Brendshme mirëpret:</w:t>
            </w:r>
          </w:p>
          <w:p w14:paraId="2F6EB9B9" w14:textId="10A688B0" w:rsidR="00FA3B23" w:rsidRDefault="00F3210B" w:rsidP="0072055C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>nte të përgjithshme publike mbi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383E47">
              <w:rPr>
                <w:rFonts w:ascii="Times New Roman" w:hAnsi="Times New Roman"/>
                <w:sz w:val="24"/>
                <w:szCs w:val="24"/>
                <w:lang w:val="sq-AL"/>
              </w:rPr>
              <w:t>procedurat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</w:t>
            </w:r>
            <w:r w:rsidR="00383E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dokumentacionit dhe afateve të shqyrtimit të kërkesave për pajisjen me licencë për veprimtaritë e lejuara me armët.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2759B0A6" w14:textId="00A7A3F8" w:rsidR="00396ECE" w:rsidRPr="00751BEF" w:rsidRDefault="00F3210B" w:rsidP="0072055C">
            <w:pPr>
              <w:pStyle w:val="BodyText"/>
              <w:numPr>
                <w:ilvl w:val="0"/>
                <w:numId w:val="1"/>
              </w:numPr>
              <w:tabs>
                <w:tab w:val="clear" w:pos="567"/>
                <w:tab w:val="left" w:pos="60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Komente nga cilido që mund të njohë fushën e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rendit dhe sigurisë publike,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kryesisht atë të kontrollit të armëve për përdorim civil </w:t>
            </w:r>
            <w:r w:rsidR="00C000E6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pjesë e fushës së përgjegjësisë së Ministrisë së Brendshme</w:t>
            </w:r>
            <w:r w:rsid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si </w:t>
            </w:r>
            <w:r w:rsidR="00FA3B23" w:rsidRPr="00FA3B2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sugjerime në lidhje me modele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më të mira të procedurave dhe afateve për ushtrimin e të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drejtave në veprimtaritë e lejuara me armët. </w:t>
            </w:r>
          </w:p>
          <w:p w14:paraId="107036DC" w14:textId="412576CB" w:rsidR="001E4573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Kontributet tuaja do të konsiderohen përgjatë procesit të përmi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rësimit të mëtejshëm të projekt</w:t>
            </w:r>
            <w:r w:rsidR="00F3210B">
              <w:rPr>
                <w:rFonts w:ascii="Times New Roman" w:hAnsi="Times New Roman"/>
                <w:sz w:val="24"/>
                <w:szCs w:val="24"/>
                <w:lang w:val="sq-AL"/>
              </w:rPr>
              <w:t>vendimit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 Zyra e Ministrisë së Brendshme do të përmbledhë të gjitha sugjerimet dhe japë sqarime për mënyrën se si ato janë reflek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tuar në aktin e përmendur, dhe 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në rast se sugjer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imet nuk reflektohen në projekt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vendim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4DD98B09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DB7AA78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Kohëzgjatja e konsultimeve</w:t>
      </w:r>
      <w:r w:rsidR="008675CA" w:rsidRPr="00751BEF">
        <w:rPr>
          <w:rFonts w:ascii="Times New Roman" w:hAnsi="Times New Roman"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A95A18B" w14:textId="77777777" w:rsidTr="009F3A30">
        <w:tc>
          <w:tcPr>
            <w:tcW w:w="9212" w:type="dxa"/>
          </w:tcPr>
          <w:p w14:paraId="21C1B2F1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69374A4" w14:textId="1A793275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Konsultimi publik do të zgjasë 1 muaj, nëpërmjet pub</w:t>
            </w:r>
            <w:r w:rsidR="00F93524">
              <w:rPr>
                <w:rFonts w:ascii="Times New Roman" w:hAnsi="Times New Roman"/>
                <w:sz w:val="24"/>
                <w:szCs w:val="24"/>
                <w:lang w:val="sq-AL"/>
              </w:rPr>
              <w:t>l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ikimit në RENJK, nga data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26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mars</w:t>
            </w:r>
            <w:r w:rsidR="008A463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deri më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22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prill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202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5863E002" w14:textId="77777777" w:rsidR="001E4573" w:rsidRPr="00E047AE" w:rsidRDefault="001E4573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0"/>
                <w:szCs w:val="24"/>
                <w:lang w:val="sq-AL"/>
              </w:rPr>
            </w:pPr>
          </w:p>
        </w:tc>
      </w:tr>
    </w:tbl>
    <w:p w14:paraId="29630BCB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A4022A" w14:textId="77777777" w:rsidR="0072055C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057098D6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0FF81B91" w14:textId="77777777" w:rsidTr="009F3A30">
        <w:tc>
          <w:tcPr>
            <w:tcW w:w="9212" w:type="dxa"/>
          </w:tcPr>
          <w:p w14:paraId="49DF7B63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  <w:p w14:paraId="1A939FA8" w14:textId="2AC7B109" w:rsidR="00396ECE" w:rsidRPr="00751BEF" w:rsidRDefault="00396EC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Mund të merrni pjesë në procesin e konsultimeve publike duke dërguar komente/kontribute për projekt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in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4C7D256" w14:textId="38D796AE" w:rsidR="002167FB" w:rsidRPr="00751BEF" w:rsidRDefault="007F7BD0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Duke plot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suar formularin onlin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Regjistrit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9607C">
              <w:rPr>
                <w:rFonts w:ascii="Times New Roman" w:hAnsi="Times New Roman"/>
                <w:sz w:val="24"/>
                <w:szCs w:val="24"/>
                <w:lang w:val="sq-AL"/>
              </w:rPr>
              <w:t>r projektaktit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396ECE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adres</w:t>
            </w:r>
            <w:r w:rsidR="00196EF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396ECE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elektronike:</w:t>
            </w:r>
            <w:r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hyperlink r:id="rId7" w:history="1">
              <w:r w:rsidR="00B61C6C" w:rsidRPr="00751BEF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="0033686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14:paraId="4B9F1669" w14:textId="1552D946" w:rsidR="008675CA" w:rsidRPr="00751BEF" w:rsidRDefault="00A047BC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email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duke d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rguar propozimet/sugjerimet tuaja n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196EFA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koordinatorit 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konsultimit publik p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r Ministrin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Brendshme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n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adres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n: </w:t>
            </w:r>
            <w:hyperlink r:id="rId8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725A5EEA" w14:textId="5521F65B" w:rsidR="00441FF8" w:rsidRPr="00751BEF" w:rsidRDefault="00441FF8" w:rsidP="0072055C">
            <w:pPr>
              <w:pStyle w:val="BodyText"/>
              <w:numPr>
                <w:ilvl w:val="0"/>
                <w:numId w:val="1"/>
              </w:numPr>
              <w:spacing w:line="276" w:lineRule="auto"/>
              <w:ind w:left="515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Me shkresa zyrtare nga ministrit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 linj</w:t>
            </w:r>
            <w:r w:rsidR="007F272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s.</w:t>
            </w:r>
          </w:p>
        </w:tc>
      </w:tr>
    </w:tbl>
    <w:p w14:paraId="3C463429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27CCFE4C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12B24D1C" w14:textId="77777777" w:rsidTr="00B61C6C">
        <w:trPr>
          <w:trHeight w:val="3046"/>
        </w:trPr>
        <w:tc>
          <w:tcPr>
            <w:tcW w:w="9212" w:type="dxa"/>
          </w:tcPr>
          <w:p w14:paraId="17C33393" w14:textId="77777777" w:rsidR="00E047AE" w:rsidRDefault="00E047A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C9AA925" w14:textId="3FB82DD6" w:rsidR="00A047BC" w:rsidRPr="00751BEF" w:rsidRDefault="00902078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>Të dhënat e kontaktit të koordinatorit përkatës për konsultime publike dhe /ose të ndonjë personi tjetër të cilit i drejtohen pyetjet</w:t>
            </w:r>
            <w:r w:rsidR="00A149A0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72827F2C" w14:textId="77777777" w:rsidR="00A149A0" w:rsidRPr="0072055C" w:rsidRDefault="00A149A0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6"/>
                <w:szCs w:val="24"/>
                <w:lang w:val="sq-AL"/>
              </w:rPr>
            </w:pPr>
          </w:p>
          <w:p w14:paraId="1354186D" w14:textId="2ABC0CDA" w:rsidR="0023260D" w:rsidRPr="00751BEF" w:rsidRDefault="003D2D9D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</w:t>
            </w:r>
            <w:r w:rsidR="00B61C6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Keti Suli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- 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Koordinatore e </w:t>
            </w:r>
            <w:r w:rsidR="00113A32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K</w:t>
            </w:r>
            <w:r w:rsidR="0023260D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onsultimit Publik</w:t>
            </w:r>
            <w:r w:rsidR="002167FB" w:rsidRPr="00751BEF">
              <w:rPr>
                <w:rFonts w:ascii="Times New Roman" w:hAnsi="Times New Roman"/>
                <w:sz w:val="24"/>
                <w:szCs w:val="24"/>
                <w:lang w:val="sq-AL"/>
              </w:rPr>
              <w:t>, e-mail</w:t>
            </w:r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hyperlink r:id="rId9" w:history="1">
              <w:r w:rsidR="00B61C6C"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keti.suli@mb.gov.al</w:t>
              </w:r>
            </w:hyperlink>
            <w:r w:rsidR="00A047BC"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</w:t>
            </w:r>
          </w:p>
          <w:p w14:paraId="5558EB6E" w14:textId="77777777" w:rsidR="008A4631" w:rsidRPr="0072055C" w:rsidRDefault="008A4631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16"/>
                <w:szCs w:val="24"/>
                <w:lang w:val="sq-AL"/>
              </w:rPr>
            </w:pPr>
          </w:p>
          <w:p w14:paraId="3637B89E" w14:textId="489A91DD" w:rsidR="00B61C6C" w:rsidRPr="00751BEF" w:rsidRDefault="00B61C6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Znj. Margarita Vogli – Specialiste e Sektorit të </w:t>
            </w:r>
            <w:r w:rsidR="00E1477A">
              <w:rPr>
                <w:rFonts w:ascii="Times New Roman" w:hAnsi="Times New Roman"/>
                <w:sz w:val="24"/>
                <w:szCs w:val="24"/>
                <w:lang w:val="sq-AL"/>
              </w:rPr>
              <w:t>Hartimit dhe Koordinimit të Strategjive</w:t>
            </w:r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Drejtoria e Politikave dhe Strategjive, e-mail </w:t>
            </w:r>
            <w:hyperlink r:id="rId10" w:history="1">
              <w:r w:rsidRPr="00751BEF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margarita.vogli@mb.gov.al</w:t>
              </w:r>
            </w:hyperlink>
            <w:r w:rsidRPr="00751BE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5D44D821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7239AD1E" w14:textId="77777777" w:rsidTr="009F3A30">
        <w:tc>
          <w:tcPr>
            <w:tcW w:w="9212" w:type="dxa"/>
          </w:tcPr>
          <w:p w14:paraId="2B8DE244" w14:textId="77777777" w:rsidR="00A047BC" w:rsidRPr="00751BEF" w:rsidRDefault="00A047B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113AF108" w14:textId="7AE32548" w:rsidR="009F14DE" w:rsidRDefault="009F14D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Duke filluar nga 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fillim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i i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vitit 202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1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ka filluar puna për identifikimin e grupeve të interesit, përcak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timi i metodave të konsultimit dhe j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anë zhvilluar vazhdimisht takime të grupit të punës si dhe ekspertë </w:t>
            </w:r>
            <w:r w:rsidR="001F69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Pr="009F14D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 fushë</w:t>
            </w:r>
            <w:r w:rsidR="001F697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 e armatimit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25A0334" w14:textId="58C6E8F1" w:rsidR="002167FB" w:rsidRPr="00751BEF" w:rsidRDefault="009F14DE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Gjithashtu, janë zhvilluar edhe takime të grupit të punës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përfaqësues t</w:t>
            </w:r>
            <w:r w:rsidR="007F2722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AE74DA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D930CB" w:rsidRPr="00751BE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misioneve/partnerëve ndërkombëtarë që ofrojnë bashkëpunim dhe asistencë në fushën e 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kontrollit të armëve, municioneve dhe eksplozivëve. 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 shkak të natyrës së tyre teknike, projekt</w:t>
            </w:r>
            <w:r w:rsidR="00534E62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vendimi 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u konsultua me ekspertët e SEESAC - Zyra e Evropës Juglindore dhe Lindore për Kontrollin e Armëve të Vogla dhe të Lehta, në një seminar dy ditor (8-9 shkurt 2021) me përfaqësues të </w:t>
            </w:r>
            <w:r w:rsid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drejtorive përgjegjëse për draftimin e projektvendimit</w:t>
            </w:r>
            <w:r w:rsidR="00E1477A" w:rsidRPr="00E1477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në Ministrinë e Brendshme.</w:t>
            </w:r>
          </w:p>
        </w:tc>
      </w:tr>
    </w:tbl>
    <w:p w14:paraId="29B33FD3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E7802A0" w14:textId="77777777" w:rsidR="0072055C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91F7A5" w14:textId="369E5729" w:rsidR="0072055C" w:rsidRDefault="0072055C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8281AE" w14:textId="77777777" w:rsidR="00E047AE" w:rsidRDefault="00E047AE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1D099B2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lastRenderedPageBreak/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017327A" w14:textId="77777777" w:rsidTr="009F3A30">
        <w:tc>
          <w:tcPr>
            <w:tcW w:w="9212" w:type="dxa"/>
          </w:tcPr>
          <w:p w14:paraId="39C042AC" w14:textId="77777777" w:rsidR="00F2299C" w:rsidRDefault="00F2299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98C7F77" w14:textId="421F66A2" w:rsidR="006A0D37" w:rsidRDefault="00534E62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kuadër të miratimit të ndryshimeve në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ligjin nr. 74/2014 “Për armët”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dhjetor të vitit 2020 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>si dh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Urdhri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534E62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nr. 158, datë 25.11.2019 të Kryeministrit “Për marrjen e masave për rregullimin e dispozitave ligjore për aplikimin e shërbimeve vetëm online, nga data 01.01.2020”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u paraqit e nevojshme të reflektoheshin ndryshimet e parashikuara në këtë ligj edhe në aktet nënligjore përkatëse për një qartësi më të madhe të </w:t>
            </w:r>
            <w:r w:rsidR="002C11D1" w:rsidRPr="002C11D1">
              <w:rPr>
                <w:rFonts w:ascii="Times New Roman" w:hAnsi="Times New Roman"/>
                <w:sz w:val="24"/>
                <w:szCs w:val="24"/>
                <w:lang w:val="sq-AL"/>
              </w:rPr>
              <w:t>unifikimi</w:t>
            </w:r>
            <w:r w:rsidR="002C11D1">
              <w:rPr>
                <w:rFonts w:ascii="Times New Roman" w:hAnsi="Times New Roman"/>
                <w:sz w:val="24"/>
                <w:szCs w:val="24"/>
                <w:lang w:val="sq-AL"/>
              </w:rPr>
              <w:t>t të</w:t>
            </w:r>
            <w:r w:rsidR="002C11D1" w:rsidRPr="002C11D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procedurave të shqyrtimit të kërkesave për pajisjen me licencë për veprimtaritë e lejuara me armët, përcaktimi i dokumentacionit, afateve të shqyrtimit dhe përcaktimi i kritereve e veçanta të licensimit, në kuadër të ndryshimeve në ligjin për armët si dhe të procesit të derregulimit.</w:t>
            </w:r>
          </w:p>
          <w:p w14:paraId="7590D3B8" w14:textId="1FCA9395" w:rsidR="00F2299C" w:rsidRPr="00751BEF" w:rsidRDefault="00F2299C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0027FA41" w:rsidR="00E54C97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59FC2C08" w14:textId="77777777" w:rsidTr="009F3A30">
        <w:tc>
          <w:tcPr>
            <w:tcW w:w="9212" w:type="dxa"/>
          </w:tcPr>
          <w:p w14:paraId="2B47E4F9" w14:textId="77777777" w:rsidR="00F2299C" w:rsidRDefault="00F2299C" w:rsidP="0072055C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6EB8771" w14:textId="77777777" w:rsidR="00AD529E" w:rsidRPr="00AD529E" w:rsidRDefault="00AD529E" w:rsidP="00AD529E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529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Qëllimi i këtij projektvendimi është unifikimi i procedurave të shqyrtimit të kërkesave për pajisjen me licencë për veprimtaritë e lejuara me armët, përcaktimi i dokumentacionit, afateve të shqyrtimit dhe përcaktimi i kritereve e veçanta të licensimit, në kuadër të ndryshimeve në ligjin për armët si dhe të procesit të derregulimit. </w:t>
            </w:r>
          </w:p>
          <w:p w14:paraId="54B7C3DB" w14:textId="77777777" w:rsidR="00AD529E" w:rsidRPr="00AD529E" w:rsidRDefault="00AD529E" w:rsidP="00AD529E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E17F2D" w14:textId="77777777" w:rsidR="00AD529E" w:rsidRPr="00AD529E" w:rsidRDefault="00AD529E" w:rsidP="00AD529E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529E">
              <w:rPr>
                <w:rFonts w:ascii="Times New Roman" w:hAnsi="Times New Roman"/>
                <w:sz w:val="24"/>
                <w:szCs w:val="24"/>
                <w:lang w:val="sq-AL"/>
              </w:rPr>
              <w:t>Ky projektvendim synon të lehtësojë procesin e pajisjes me licencë për veprimtaritë e lejuara me armë, ku titullari i subjektit paraqet online kërkesën në strukturën e policisë.</w:t>
            </w:r>
          </w:p>
          <w:p w14:paraId="04B4FF07" w14:textId="77777777" w:rsidR="00F2299C" w:rsidRDefault="00AD529E" w:rsidP="00AD529E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D529E">
              <w:rPr>
                <w:rFonts w:ascii="Times New Roman" w:hAnsi="Times New Roman"/>
                <w:sz w:val="24"/>
                <w:szCs w:val="24"/>
                <w:lang w:val="sq-AL"/>
              </w:rPr>
              <w:t>Qëllimi i këtij projektvendimi është ofrimi i shërbimeve, duke reduktuar kohën e marrjes së shërbimit, duke evituar burokracitë etj.</w:t>
            </w:r>
          </w:p>
          <w:p w14:paraId="7A7AF454" w14:textId="2E6F73AA" w:rsidR="00AD529E" w:rsidRPr="00751BEF" w:rsidRDefault="00AD529E" w:rsidP="00AD529E">
            <w:pPr>
              <w:widowControl w:val="0"/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751BEF" w:rsidRDefault="008675CA" w:rsidP="0072055C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751BEF" w:rsidRDefault="00E54C97" w:rsidP="0072055C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751BEF">
        <w:rPr>
          <w:rFonts w:ascii="Times New Roman" w:hAnsi="Times New Roman"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751BEF" w14:paraId="6F85D1AB" w14:textId="77777777" w:rsidTr="009F3A30">
        <w:tc>
          <w:tcPr>
            <w:tcW w:w="9212" w:type="dxa"/>
          </w:tcPr>
          <w:p w14:paraId="7607B2CB" w14:textId="21528E31" w:rsidR="001E4573" w:rsidRPr="00751BEF" w:rsidRDefault="00760293" w:rsidP="0072055C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751BE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Jeni të ftuar të jepni komentet dhe kontributet tuaja për të gjitha aspektet e projekt-ligjit të propozuar. </w:t>
            </w:r>
          </w:p>
          <w:p w14:paraId="1A611569" w14:textId="293F88B3" w:rsidR="00E047AE" w:rsidRDefault="000E60B4" w:rsidP="001C260E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</w:t>
            </w:r>
            <w:r w:rsidR="00E047AE">
              <w:rPr>
                <w:rFonts w:ascii="Times New Roman" w:hAnsi="Times New Roman"/>
                <w:sz w:val="24"/>
                <w:szCs w:val="24"/>
                <w:lang w:val="sq-AL"/>
              </w:rPr>
              <w:t>A është e vështirë sigurimi dhe disponimi nga juaj i dokumentacionit që duhet të dorëzohet online, sipas parashikimeve të bëra në këtë projektvendim?</w:t>
            </w:r>
          </w:p>
          <w:p w14:paraId="056C0908" w14:textId="45878574" w:rsidR="00E047AE" w:rsidRPr="006F5D65" w:rsidRDefault="002D0616" w:rsidP="001C260E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Si e vlerësoni procedurën që duhet të ndiqet nga strukturat e Policisë së Shtetit për pranimin, verifikimin dhe shqyrtimin e dokumentave për licensim?</w:t>
            </w:r>
          </w:p>
          <w:p w14:paraId="02FBA4B9" w14:textId="77777777" w:rsidR="000E60B4" w:rsidRDefault="002D0616" w:rsidP="001C260E">
            <w:pPr>
              <w:pStyle w:val="BodyTex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 mendoni se është i mjaftueshëm afati i parashikuar për ripërtëritjen e licencës online i përcaktuar si afat para përfundimit të afatit të licencës aktuale në përdorim?</w:t>
            </w:r>
          </w:p>
          <w:p w14:paraId="05A74F20" w14:textId="52341BEF" w:rsidR="001C260E" w:rsidRPr="001C260E" w:rsidRDefault="001C260E" w:rsidP="001C260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Si i vlerësoni</w:t>
            </w:r>
            <w:r w:rsidRPr="001C260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kriteret e</w:t>
            </w:r>
            <w:r w:rsidRPr="001C260E">
              <w:rPr>
                <w:rFonts w:ascii="Times New Roman" w:eastAsia="Times New Roman" w:hAnsi="Times New Roman"/>
                <w:sz w:val="24"/>
                <w:szCs w:val="24"/>
              </w:rPr>
              <w:t xml:space="preserve"> veçanta për ushtrimin 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veprimtarisë së lejuar me armë </w:t>
            </w:r>
            <w:r w:rsidRPr="001C260E">
              <w:rPr>
                <w:rFonts w:ascii="Times New Roman" w:eastAsia="Times New Roman" w:hAnsi="Times New Roman"/>
                <w:sz w:val="24"/>
                <w:szCs w:val="24"/>
              </w:rPr>
              <w:t xml:space="preserve">të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parashkuara në këtë projektvendim, krahas atyre të </w:t>
            </w:r>
            <w:r w:rsidRPr="001C260E">
              <w:rPr>
                <w:rFonts w:ascii="Times New Roman" w:eastAsia="Times New Roman" w:hAnsi="Times New Roman"/>
                <w:sz w:val="24"/>
                <w:szCs w:val="24"/>
              </w:rPr>
              <w:t>përcaktua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ra në ligjin nr. 74/2014 “Për  armët”, të ndryshuar?</w:t>
            </w:r>
          </w:p>
          <w:p w14:paraId="3D4086F2" w14:textId="26D636A8" w:rsidR="001C260E" w:rsidRPr="006F5D65" w:rsidRDefault="001C260E" w:rsidP="003C3415">
            <w:pPr>
              <w:pStyle w:val="BodyText"/>
              <w:spacing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7F08B1D8" w14:textId="5ABC3FE1" w:rsidR="008675CA" w:rsidRPr="00751BEF" w:rsidRDefault="008675CA" w:rsidP="0072055C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8675CA" w:rsidRPr="00751BEF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69FCD" w14:textId="77777777" w:rsidR="00B83664" w:rsidRDefault="00B83664" w:rsidP="00606F40">
      <w:r>
        <w:separator/>
      </w:r>
    </w:p>
  </w:endnote>
  <w:endnote w:type="continuationSeparator" w:id="0">
    <w:p w14:paraId="73493675" w14:textId="77777777" w:rsidR="00B83664" w:rsidRDefault="00B83664" w:rsidP="0060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B193F" w14:textId="77777777" w:rsidR="00B83664" w:rsidRDefault="00B83664" w:rsidP="00606F40">
      <w:r>
        <w:separator/>
      </w:r>
    </w:p>
  </w:footnote>
  <w:footnote w:type="continuationSeparator" w:id="0">
    <w:p w14:paraId="2B263DAB" w14:textId="77777777" w:rsidR="00B83664" w:rsidRDefault="00B83664" w:rsidP="0060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60B5"/>
    <w:multiLevelType w:val="hybridMultilevel"/>
    <w:tmpl w:val="7CD44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57879"/>
    <w:multiLevelType w:val="hybridMultilevel"/>
    <w:tmpl w:val="3DF8B2A0"/>
    <w:lvl w:ilvl="0" w:tplc="90AA3BD6">
      <w:start w:val="201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AC4"/>
    <w:multiLevelType w:val="hybridMultilevel"/>
    <w:tmpl w:val="C88400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95B4E"/>
    <w:multiLevelType w:val="hybridMultilevel"/>
    <w:tmpl w:val="2070B12E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3F5D06"/>
    <w:multiLevelType w:val="hybridMultilevel"/>
    <w:tmpl w:val="EC2E4D10"/>
    <w:lvl w:ilvl="0" w:tplc="7E9217EE">
      <w:start w:val="1"/>
      <w:numFmt w:val="bullet"/>
      <w:lvlText w:val="•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6833D8"/>
    <w:multiLevelType w:val="hybridMultilevel"/>
    <w:tmpl w:val="5D063118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17ED8"/>
    <w:multiLevelType w:val="hybridMultilevel"/>
    <w:tmpl w:val="EE247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257F9"/>
    <w:rsid w:val="00027DBA"/>
    <w:rsid w:val="00044810"/>
    <w:rsid w:val="00047A30"/>
    <w:rsid w:val="00091AC1"/>
    <w:rsid w:val="000E60B4"/>
    <w:rsid w:val="00103C86"/>
    <w:rsid w:val="00113A32"/>
    <w:rsid w:val="001144E3"/>
    <w:rsid w:val="001210B9"/>
    <w:rsid w:val="001379F3"/>
    <w:rsid w:val="0016664C"/>
    <w:rsid w:val="00196EFA"/>
    <w:rsid w:val="001C260E"/>
    <w:rsid w:val="001E4573"/>
    <w:rsid w:val="001F2E87"/>
    <w:rsid w:val="001F6974"/>
    <w:rsid w:val="002167FB"/>
    <w:rsid w:val="0023260D"/>
    <w:rsid w:val="002C11D1"/>
    <w:rsid w:val="002D0616"/>
    <w:rsid w:val="00336869"/>
    <w:rsid w:val="00383E47"/>
    <w:rsid w:val="00396ECE"/>
    <w:rsid w:val="003A7F21"/>
    <w:rsid w:val="003C3415"/>
    <w:rsid w:val="003D2D9D"/>
    <w:rsid w:val="00410143"/>
    <w:rsid w:val="00441FF8"/>
    <w:rsid w:val="00453FEB"/>
    <w:rsid w:val="00463C25"/>
    <w:rsid w:val="00490AD0"/>
    <w:rsid w:val="004928C0"/>
    <w:rsid w:val="00492DE0"/>
    <w:rsid w:val="004C5AE2"/>
    <w:rsid w:val="00534E62"/>
    <w:rsid w:val="00574E6C"/>
    <w:rsid w:val="005E4A26"/>
    <w:rsid w:val="005E5A3C"/>
    <w:rsid w:val="005F0BBC"/>
    <w:rsid w:val="00600C60"/>
    <w:rsid w:val="006017D3"/>
    <w:rsid w:val="00606F40"/>
    <w:rsid w:val="006765A3"/>
    <w:rsid w:val="006A0D37"/>
    <w:rsid w:val="006E7E64"/>
    <w:rsid w:val="006F5D65"/>
    <w:rsid w:val="0072055C"/>
    <w:rsid w:val="00751BEF"/>
    <w:rsid w:val="00760293"/>
    <w:rsid w:val="00774CC9"/>
    <w:rsid w:val="00785430"/>
    <w:rsid w:val="0079607C"/>
    <w:rsid w:val="007F02F0"/>
    <w:rsid w:val="007F2722"/>
    <w:rsid w:val="007F3731"/>
    <w:rsid w:val="007F7BD0"/>
    <w:rsid w:val="00807F57"/>
    <w:rsid w:val="00866E4A"/>
    <w:rsid w:val="008675CA"/>
    <w:rsid w:val="008721EC"/>
    <w:rsid w:val="0089141E"/>
    <w:rsid w:val="008A4631"/>
    <w:rsid w:val="008B5064"/>
    <w:rsid w:val="008B554B"/>
    <w:rsid w:val="00902078"/>
    <w:rsid w:val="00912624"/>
    <w:rsid w:val="00912DE2"/>
    <w:rsid w:val="00990DC6"/>
    <w:rsid w:val="009D108C"/>
    <w:rsid w:val="009F14DE"/>
    <w:rsid w:val="00A047BC"/>
    <w:rsid w:val="00A149A0"/>
    <w:rsid w:val="00A5143A"/>
    <w:rsid w:val="00A84AA3"/>
    <w:rsid w:val="00A927A3"/>
    <w:rsid w:val="00AB606C"/>
    <w:rsid w:val="00AD529E"/>
    <w:rsid w:val="00AE0C17"/>
    <w:rsid w:val="00AE74DA"/>
    <w:rsid w:val="00B53A46"/>
    <w:rsid w:val="00B61C6C"/>
    <w:rsid w:val="00B833DC"/>
    <w:rsid w:val="00B83664"/>
    <w:rsid w:val="00BC0C18"/>
    <w:rsid w:val="00BD10F8"/>
    <w:rsid w:val="00BD2CC2"/>
    <w:rsid w:val="00C000E6"/>
    <w:rsid w:val="00C512AD"/>
    <w:rsid w:val="00CC3D10"/>
    <w:rsid w:val="00CC5563"/>
    <w:rsid w:val="00D33FE1"/>
    <w:rsid w:val="00D420BE"/>
    <w:rsid w:val="00D87362"/>
    <w:rsid w:val="00D930CB"/>
    <w:rsid w:val="00DB0922"/>
    <w:rsid w:val="00E047AE"/>
    <w:rsid w:val="00E1477A"/>
    <w:rsid w:val="00E54C97"/>
    <w:rsid w:val="00ED23CC"/>
    <w:rsid w:val="00F16D73"/>
    <w:rsid w:val="00F2299C"/>
    <w:rsid w:val="00F3210B"/>
    <w:rsid w:val="00F67AE6"/>
    <w:rsid w:val="00F71BFB"/>
    <w:rsid w:val="00F93524"/>
    <w:rsid w:val="00FA3B23"/>
    <w:rsid w:val="00FD458B"/>
    <w:rsid w:val="00FE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6F4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6F4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6F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40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40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F7BD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9F3"/>
    <w:rPr>
      <w:color w:val="954F72" w:themeColor="followedHyperlink"/>
      <w:u w:val="single"/>
    </w:rPr>
  </w:style>
  <w:style w:type="paragraph" w:styleId="ListParagraph">
    <w:name w:val="List Paragraph"/>
    <w:aliases w:val="Normal 1,List Paragraph1,List Paragraph (numbered (a)),List Paragraph 1,Akapit z listą BS,Bullets,Dot pt,F5 List Paragraph,List Paragraph Char Char Char,Indicator Text,Numbered Para 1,Bullet 1,Bullet Points,List Paragraph Char Char,L"/>
    <w:basedOn w:val="Normal"/>
    <w:link w:val="ListParagraphChar"/>
    <w:uiPriority w:val="34"/>
    <w:qFormat/>
    <w:rsid w:val="00902078"/>
    <w:pPr>
      <w:ind w:left="720"/>
    </w:pPr>
    <w:rPr>
      <w:rFonts w:ascii="Calibri" w:eastAsia="Calibri" w:hAnsi="Calibri"/>
      <w:szCs w:val="22"/>
      <w:lang w:val="sq-AL"/>
    </w:rPr>
  </w:style>
  <w:style w:type="character" w:customStyle="1" w:styleId="ListParagraphChar">
    <w:name w:val="List Paragraph Char"/>
    <w:aliases w:val="Normal 1 Char,List Paragraph1 Char,List Paragraph (numbered (a)) Char,List Paragraph 1 Char,Akapit z listą BS Char,Bullets Char,Dot pt Char,F5 List Paragraph Char,List Paragraph Char Char Char Char,Indicator Text Char,Bullet 1 Char"/>
    <w:link w:val="ListParagraph"/>
    <w:uiPriority w:val="34"/>
    <w:qFormat/>
    <w:locked/>
    <w:rsid w:val="00902078"/>
    <w:rPr>
      <w:rFonts w:ascii="Calibri" w:eastAsia="Calibri" w:hAnsi="Calibri"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i.suli@mb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garita.vogli@mb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ti.suli@mb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HP</cp:lastModifiedBy>
  <cp:revision>24</cp:revision>
  <dcterms:created xsi:type="dcterms:W3CDTF">2021-03-25T07:41:00Z</dcterms:created>
  <dcterms:modified xsi:type="dcterms:W3CDTF">2021-03-25T21:54:00Z</dcterms:modified>
</cp:coreProperties>
</file>